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DDF" w:rsidRPr="00E378A1"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bookmarkStart w:id="0" w:name="_GoBack"/>
      <w:bookmarkEnd w:id="0"/>
    </w:p>
    <w:p w:rsidR="00CA3DDF" w:rsidRPr="000D27D2"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r w:rsidRPr="003472AC">
        <w:rPr>
          <w:rFonts w:ascii="Times New Roman" w:hAnsi="Times New Roman"/>
          <w:sz w:val="24"/>
          <w:szCs w:val="24"/>
        </w:rPr>
        <w:t>"How To Motivate Fred Maiorino" Case</w:t>
      </w:r>
    </w:p>
    <w:p w:rsidR="00CA3DDF" w:rsidRPr="000D27D2" w:rsidRDefault="00CA3DDF" w:rsidP="0038151B">
      <w:pPr>
        <w:spacing w:after="0" w:line="480" w:lineRule="auto"/>
        <w:contextualSpacing/>
        <w:jc w:val="center"/>
        <w:rPr>
          <w:rFonts w:ascii="Times New Roman" w:hAnsi="Times New Roman"/>
          <w:sz w:val="24"/>
          <w:szCs w:val="24"/>
        </w:rPr>
      </w:pPr>
      <w:r w:rsidRPr="000D27D2">
        <w:rPr>
          <w:rFonts w:ascii="Times New Roman" w:hAnsi="Times New Roman"/>
          <w:sz w:val="24"/>
          <w:szCs w:val="24"/>
        </w:rPr>
        <w:t>Name:</w:t>
      </w:r>
    </w:p>
    <w:p w:rsidR="00CA3DDF" w:rsidRPr="000D27D2" w:rsidRDefault="00CA3DDF" w:rsidP="0038151B">
      <w:pPr>
        <w:spacing w:after="0" w:line="480" w:lineRule="auto"/>
        <w:contextualSpacing/>
        <w:jc w:val="center"/>
        <w:rPr>
          <w:rFonts w:ascii="Times New Roman" w:hAnsi="Times New Roman"/>
          <w:sz w:val="24"/>
          <w:szCs w:val="24"/>
        </w:rPr>
      </w:pPr>
      <w:r w:rsidRPr="000D27D2">
        <w:rPr>
          <w:rFonts w:ascii="Times New Roman" w:hAnsi="Times New Roman"/>
          <w:sz w:val="24"/>
          <w:szCs w:val="24"/>
        </w:rPr>
        <w:t>Institution:</w:t>
      </w: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rPr>
          <w:rFonts w:ascii="Times New Roman" w:hAnsi="Times New Roman"/>
          <w:sz w:val="24"/>
          <w:szCs w:val="24"/>
        </w:rPr>
      </w:pPr>
    </w:p>
    <w:p w:rsidR="00CA3DDF" w:rsidRPr="000D27D2" w:rsidRDefault="00CA3DDF" w:rsidP="0038151B">
      <w:pPr>
        <w:spacing w:after="0" w:line="480" w:lineRule="auto"/>
        <w:contextualSpacing/>
        <w:jc w:val="center"/>
        <w:rPr>
          <w:rFonts w:ascii="Times New Roman" w:hAnsi="Times New Roman"/>
          <w:sz w:val="24"/>
          <w:szCs w:val="24"/>
        </w:rPr>
      </w:pPr>
      <w:r w:rsidRPr="003472AC">
        <w:rPr>
          <w:rFonts w:ascii="Times New Roman" w:hAnsi="Times New Roman"/>
          <w:sz w:val="24"/>
          <w:szCs w:val="24"/>
        </w:rPr>
        <w:lastRenderedPageBreak/>
        <w:t>"How To Motivate Fred Maiorino" Case</w:t>
      </w:r>
      <w:r>
        <w:rPr>
          <w:rFonts w:ascii="Times New Roman" w:hAnsi="Times New Roman"/>
          <w:sz w:val="24"/>
          <w:szCs w:val="24"/>
        </w:rPr>
        <w:t xml:space="preserve"> </w:t>
      </w:r>
    </w:p>
    <w:p w:rsidR="00CA3DDF" w:rsidRDefault="00CA3DDF" w:rsidP="0038151B">
      <w:pPr>
        <w:spacing w:line="480" w:lineRule="auto"/>
        <w:contextualSpacing/>
        <w:jc w:val="center"/>
        <w:rPr>
          <w:rFonts w:ascii="Times New Roman" w:hAnsi="Times New Roman"/>
          <w:b/>
          <w:color w:val="000000"/>
          <w:sz w:val="24"/>
          <w:szCs w:val="24"/>
        </w:rPr>
      </w:pPr>
      <w:r w:rsidRPr="00803478">
        <w:rPr>
          <w:rFonts w:ascii="Times New Roman" w:hAnsi="Times New Roman"/>
          <w:b/>
          <w:color w:val="000000"/>
          <w:sz w:val="24"/>
          <w:szCs w:val="24"/>
        </w:rPr>
        <w:t>Introduction</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Motivation is essential for the productivity of the organization, in addition to the accomplishment of the members of the workforce. While different strategies of motivation exist, a strategy that is critical to an organization should be one that caters for the needs of the employees in addition to the requirements within the workplace. An illustration is the case organization whose focus is the sale of pharmaceutical products. The employees in the organization derive their motivation from the sales figures they achieve (Dessler, 2009). For such an organization a fundamental approach to motivating the workforce would involve the process of ranking in addition to rewarding the top performers within the organization.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However, a situation may arise, like in the case of Fred Maiorino who is the case subject in the analysis, in which competition does not suffice as a method of motivation to guarantee performance among the employees (Hutchinson, 2013). For such an organization the use of additional means of motivation would be useful because the combination of different methods would ensure that the organization captures the personality and interest of all the members of the workforce, which is critical in determining the item that motivates them (Axelsson &amp; Bokedal 2009).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An additional consideration in employing diverse means of motivation includes the dynamic nature of human being, which causes changes in their interests and aspirations throughout an individual’s life. Motivation is, therefore, an aspect that changes with time, personalities and situation. A similar mode of motivation cannot apply to a different situation. The success of an organization towards motivating its employees lies in finding the different channels of motivation that accommodate different personalities and situations so that the employees remained engaged towards the performance standards that are required in their different positions. </w:t>
      </w:r>
    </w:p>
    <w:p w:rsidR="0038151B" w:rsidRPr="0038151B" w:rsidRDefault="0038151B" w:rsidP="0038151B">
      <w:pPr>
        <w:spacing w:after="0" w:line="480" w:lineRule="auto"/>
        <w:contextualSpacing/>
        <w:jc w:val="center"/>
        <w:rPr>
          <w:rFonts w:ascii="Times New Roman" w:hAnsi="Times New Roman"/>
          <w:b/>
          <w:sz w:val="24"/>
          <w:szCs w:val="24"/>
        </w:rPr>
      </w:pPr>
      <w:r w:rsidRPr="0038151B">
        <w:rPr>
          <w:rFonts w:ascii="Times New Roman" w:hAnsi="Times New Roman"/>
          <w:b/>
          <w:sz w:val="24"/>
          <w:szCs w:val="24"/>
        </w:rPr>
        <w:lastRenderedPageBreak/>
        <w:t>Analysis of Critical Issues</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One critical issue that was under analysis in the conflict between Fred Maiorino and his employers was the issue of tardiness. The employers noted that on several occasions his vehicle was seen parked outside of his residence during the hours of work. The first time that Jim Reed encountered the situation, his confidence in the motivational measures he had so far taken reduced (Course material, 2018). He decided to follow up with subsequent investigations, to which end he realized that the tardiness persisted despite warnings from the management.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Despite the situation in which Fred Maiorino failed to put in a fool day of work, he still claimed that his accomplishments at the end of the day matched the measure of full-day work. The assertion raises the second issue which relates to Fred’s dissatisfaction with his employers. The dissatisfaction affected his spirit of performance. One client Jim Vizzoni, who operated Trenton pharmacies in New Jersey noted that Fred had changed his mannerism from an outgoing and ‘happy-go-lucky’ individual to the demeanor of an individual who was often upset. The change in emotional status affected his performance (Course material, 2018). The client also noted that interaction with Fred had revealed that the problem according to Fred was his boss.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A third critical issue for consideration is the origin of the problem. The cascade of events that resulted in the change of performance for Fred forms an essential component for the analysis. According to the case report, the change in performance started when an evaluation of half year performance for Fred came back as ‘good.’ The previous accounts of his evaluation have reflected the phrases ‘Very good’ and ‘outstanding.’ Thus, the change in the evaluation outcomes forms the first part in the down spiraling of a previously exemplary employee.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lastRenderedPageBreak/>
        <w:t xml:space="preserve">The analysis, it should be noted, focused on a singular report that showed dismal performance. From this point, the management consolidated efforts towards motivating Fred in a bid to restore his previous status as a top performing employee within the organization (Bratton &amp; Gold, 2007). Despite the efforts from the management, the situation continued to deteriorate with the outcome of termination and an ensuing lawsuit in which Fred asserted that the management had discriminated him on the basis of his age. </w:t>
      </w:r>
    </w:p>
    <w:p w:rsidR="0038151B" w:rsidRPr="0038151B" w:rsidRDefault="0038151B" w:rsidP="0038151B">
      <w:pPr>
        <w:spacing w:after="0" w:line="480" w:lineRule="auto"/>
        <w:contextualSpacing/>
        <w:jc w:val="center"/>
        <w:rPr>
          <w:rFonts w:ascii="Times New Roman" w:hAnsi="Times New Roman"/>
          <w:b/>
          <w:sz w:val="24"/>
          <w:szCs w:val="24"/>
        </w:rPr>
      </w:pPr>
      <w:r w:rsidRPr="0038151B">
        <w:rPr>
          <w:rFonts w:ascii="Times New Roman" w:hAnsi="Times New Roman"/>
          <w:b/>
          <w:sz w:val="24"/>
          <w:szCs w:val="24"/>
        </w:rPr>
        <w:t>Recommendations</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According to Jim Reed, the motivational strategies within the organization focused on the competitive aspect of the pharmaceutical sales business. The manager in the case report notes that ranking report is the ultimate mode of motivation that encourages performance among the employees (Course material, 2018). He, therefore, took his role of motivating, coaching, teaching and counseling the workforce with the seriousness it deserved to ensure that the workers remained competitive (Skemp-Arlt, &amp;Toupence, 2007).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The organization focuses on a clear-cut method of motivation. It fails to take into consideration the dynamic nature of the workforce in addition to changes in levels of expectations in addition to workplace diversities. The organization thus operates on the assumption that all the members of the workforce who form part of different sales teams are competitive.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While the assertion may be true, considering the nature of the business, a point comes when the priorities of the individuals change. An illustration is the case of Fred who through years of holding the top position within the organization has changed his priorities from aspects of competition. , therefore, had other forces that contributed to his performance within the organization. One of the forces that could motivate Fred was an affirmation from the superiors.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lastRenderedPageBreak/>
        <w:t xml:space="preserve">Therefore, a recommendation towards motivating Fred to maintain his sales goals within the organization was an affirmation from the top management (Decenzo &amp; Robbins, 2007). The move of the organization towards recognizing that Fred was a useful member of the team, in addition to showing him that they appreciated his contribution to the organization is one recommendation that could have salvaged the relationship between Fred and his employers. All Fred desired after years of service in the organization was reciprocation on the side of the employees that his efforts towards the profitability of the organization were appreciated.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A separate recommendation is for the organization to create challenging positions for employees who maintain constant high performance. The pattern in the case shows that Fred grew accustomed to his status as a high performing individual because the organization did not offer any opportunities for career growth. As an outcome, he became comfortable in his position, which upon challenge resulted in the subsequent deterioration of the outcomes and his termination.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A final recommendation is that while it is essential for the organization to focus on a motivational strategy that is bearing positive outcomes, the organization should recognize that the individuals in the workplace are diverse. While one individual may benefit from competition as an aspect of motivation within the organization, a different, and possibly non-competitive individual will not draw any benefits from the ranking prospects that are supposed to encourage motivation (Bowditch &amp; Buono 2001). The organization should, therefore, have in place different motivational strategies that take into account the personalities of different members of the workforce. </w:t>
      </w:r>
    </w:p>
    <w:p w:rsidR="0038151B" w:rsidRPr="0038151B" w:rsidRDefault="0038151B" w:rsidP="0038151B">
      <w:pPr>
        <w:spacing w:after="0" w:line="480" w:lineRule="auto"/>
        <w:contextualSpacing/>
        <w:jc w:val="center"/>
        <w:rPr>
          <w:rFonts w:ascii="Times New Roman" w:hAnsi="Times New Roman"/>
          <w:b/>
          <w:sz w:val="24"/>
          <w:szCs w:val="24"/>
        </w:rPr>
      </w:pPr>
      <w:r w:rsidRPr="0038151B">
        <w:rPr>
          <w:rFonts w:ascii="Times New Roman" w:hAnsi="Times New Roman"/>
          <w:b/>
          <w:sz w:val="24"/>
          <w:szCs w:val="24"/>
        </w:rPr>
        <w:t>Conclusion</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The success of an organization towards motivating its employees lies in finding the different channels of motivation that accommodate different personalities and situations so </w:t>
      </w:r>
      <w:r w:rsidRPr="0038151B">
        <w:rPr>
          <w:rFonts w:ascii="Times New Roman" w:hAnsi="Times New Roman"/>
          <w:sz w:val="24"/>
          <w:szCs w:val="24"/>
        </w:rPr>
        <w:lastRenderedPageBreak/>
        <w:t xml:space="preserve">that the employees remained engaged towards the performance standards that are required in their different positions. The case in the analysis focuses on an organization whose singular method of motivation based on competition. The organization held a firm assertion that all the members of the workforce were driven by competition. While the assertion is true, since the organization deals in the sales of pharmaceutical products to different organizations, it fails to capture the entire representation in the workplace. </w:t>
      </w:r>
    </w:p>
    <w:p w:rsidR="0038151B" w:rsidRP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The subject in the case analysis, Fred Maiorino provide conflicting points on the basis of the outcomes within the organization. One point that Fred proved from his previous top-notch performance in the sales services for the organization was that competition was indeed a factor in motivation. The earlier accounts of this individual in the workplace, as well as his performance,  are an indication that he revealed in his status as a top performing employee within the organization. However, with time his personality </w:t>
      </w:r>
      <w:r>
        <w:rPr>
          <w:rFonts w:ascii="Times New Roman" w:hAnsi="Times New Roman"/>
          <w:sz w:val="24"/>
          <w:szCs w:val="24"/>
        </w:rPr>
        <w:t>changed</w:t>
      </w:r>
      <w:r w:rsidRPr="0038151B">
        <w:rPr>
          <w:rFonts w:ascii="Times New Roman" w:hAnsi="Times New Roman"/>
          <w:sz w:val="24"/>
          <w:szCs w:val="24"/>
        </w:rPr>
        <w:t xml:space="preserve">. </w:t>
      </w:r>
    </w:p>
    <w:p w:rsid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 xml:space="preserve">The mistake that Jim Reed made in his attempt to remedy the situation and restore the performance of Fred was in the assumption that competition remained a driving force in the performances of his employee. Jim ultimately tied competition to aspects of delay, in addition to reaching the goals that the employee had set as sales targets within the organization. The failure of Fred to follow through with the expectations of Jim from the input of motivation is possibly an outcome of utilizing the wrong channels of motivation. </w:t>
      </w:r>
    </w:p>
    <w:p w:rsidR="0038151B" w:rsidRDefault="0038151B" w:rsidP="0038151B">
      <w:pPr>
        <w:spacing w:after="0" w:line="480" w:lineRule="auto"/>
        <w:ind w:firstLine="720"/>
        <w:contextualSpacing/>
        <w:rPr>
          <w:rFonts w:ascii="Times New Roman" w:hAnsi="Times New Roman"/>
          <w:sz w:val="24"/>
          <w:szCs w:val="24"/>
        </w:rPr>
      </w:pPr>
      <w:r w:rsidRPr="0038151B">
        <w:rPr>
          <w:rFonts w:ascii="Times New Roman" w:hAnsi="Times New Roman"/>
          <w:sz w:val="24"/>
          <w:szCs w:val="24"/>
        </w:rPr>
        <w:t>Jim failed to realize that while previously Fred’s performance had hinged on competition, in his advanced stages of life, his personality had changed (Axelsson &amp; Bokedal 2009). His preference, contrary to remaining on top of the competition, was for the organization to recognize his efforts and the very least, assure him that he is a valued member of their team in the pharmaceutical sales business (Greene, 2011). The failure of tapping into the motivational needs of the employee resulted in the termination of an otherwise valuable employee in addition to a nasty lawsuit that was costly to the organization.</w:t>
      </w:r>
    </w:p>
    <w:p w:rsidR="00CA3DDF" w:rsidRPr="000D27D2" w:rsidRDefault="00CA3DDF" w:rsidP="0038151B">
      <w:pPr>
        <w:spacing w:after="0" w:line="480" w:lineRule="auto"/>
        <w:contextualSpacing/>
        <w:jc w:val="center"/>
        <w:rPr>
          <w:rFonts w:ascii="Times New Roman" w:hAnsi="Times New Roman"/>
          <w:sz w:val="24"/>
          <w:szCs w:val="24"/>
        </w:rPr>
      </w:pPr>
      <w:r w:rsidRPr="000D27D2">
        <w:rPr>
          <w:rFonts w:ascii="Times New Roman" w:hAnsi="Times New Roman"/>
          <w:sz w:val="24"/>
          <w:szCs w:val="24"/>
        </w:rPr>
        <w:lastRenderedPageBreak/>
        <w:t>References</w:t>
      </w:r>
      <w:r>
        <w:rPr>
          <w:rFonts w:ascii="Times New Roman" w:hAnsi="Times New Roman"/>
          <w:sz w:val="24"/>
          <w:szCs w:val="24"/>
        </w:rPr>
        <w:t xml:space="preserve"> </w:t>
      </w:r>
    </w:p>
    <w:p w:rsidR="007D1F6D" w:rsidRPr="007D1F6D" w:rsidRDefault="007D1F6D" w:rsidP="0038151B">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Axelsson</w:t>
      </w:r>
      <w:r w:rsidR="003276DB">
        <w:rPr>
          <w:rFonts w:ascii="Times New Roman" w:hAnsi="Times New Roman"/>
          <w:bCs/>
          <w:sz w:val="24"/>
          <w:szCs w:val="24"/>
        </w:rPr>
        <w:t>,</w:t>
      </w:r>
      <w:r>
        <w:rPr>
          <w:rFonts w:ascii="Times New Roman" w:hAnsi="Times New Roman"/>
          <w:bCs/>
          <w:sz w:val="24"/>
          <w:szCs w:val="24"/>
        </w:rPr>
        <w:t xml:space="preserve"> A. &amp; </w:t>
      </w:r>
      <w:r w:rsidRPr="007D1F6D">
        <w:rPr>
          <w:rFonts w:ascii="Times New Roman" w:hAnsi="Times New Roman"/>
          <w:bCs/>
          <w:sz w:val="24"/>
          <w:szCs w:val="24"/>
        </w:rPr>
        <w:t xml:space="preserve">Bokedal S. </w:t>
      </w:r>
      <w:r>
        <w:rPr>
          <w:rFonts w:ascii="Times New Roman" w:hAnsi="Times New Roman"/>
          <w:bCs/>
          <w:sz w:val="24"/>
          <w:szCs w:val="24"/>
        </w:rPr>
        <w:t>(</w:t>
      </w:r>
      <w:r w:rsidRPr="007D1F6D">
        <w:rPr>
          <w:rFonts w:ascii="Times New Roman" w:hAnsi="Times New Roman"/>
          <w:bCs/>
          <w:sz w:val="24"/>
          <w:szCs w:val="24"/>
        </w:rPr>
        <w:t>2009</w:t>
      </w:r>
      <w:r>
        <w:rPr>
          <w:rFonts w:ascii="Times New Roman" w:hAnsi="Times New Roman"/>
          <w:bCs/>
          <w:sz w:val="24"/>
          <w:szCs w:val="24"/>
        </w:rPr>
        <w:t>)</w:t>
      </w:r>
      <w:r w:rsidRPr="007D1F6D">
        <w:rPr>
          <w:rFonts w:ascii="Times New Roman" w:hAnsi="Times New Roman"/>
          <w:bCs/>
          <w:sz w:val="24"/>
          <w:szCs w:val="24"/>
        </w:rPr>
        <w:t>. Reward Systems- Mo</w:t>
      </w:r>
      <w:r>
        <w:rPr>
          <w:rFonts w:ascii="Times New Roman" w:hAnsi="Times New Roman"/>
          <w:bCs/>
          <w:sz w:val="24"/>
          <w:szCs w:val="24"/>
        </w:rPr>
        <w:t xml:space="preserve">tivating Different Generations. Retrieved from </w:t>
      </w:r>
      <w:r w:rsidRPr="007D1F6D">
        <w:rPr>
          <w:rFonts w:ascii="Times New Roman" w:hAnsi="Times New Roman"/>
          <w:bCs/>
          <w:sz w:val="24"/>
          <w:szCs w:val="24"/>
        </w:rPr>
        <w:t>https://gupea.ub.gu.se//bitstream/2077/21241/1/gupea_2077_21241_1.pdf</w:t>
      </w:r>
    </w:p>
    <w:p w:rsidR="007D1F6D" w:rsidRPr="007D1F6D" w:rsidRDefault="007D1F6D" w:rsidP="0038151B">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Bowditch</w:t>
      </w:r>
      <w:r w:rsidR="003276DB">
        <w:rPr>
          <w:rFonts w:ascii="Times New Roman" w:hAnsi="Times New Roman"/>
          <w:bCs/>
          <w:sz w:val="24"/>
          <w:szCs w:val="24"/>
        </w:rPr>
        <w:t>,</w:t>
      </w:r>
      <w:r>
        <w:rPr>
          <w:rFonts w:ascii="Times New Roman" w:hAnsi="Times New Roman"/>
          <w:bCs/>
          <w:sz w:val="24"/>
          <w:szCs w:val="24"/>
        </w:rPr>
        <w:t xml:space="preserve"> J. L. &amp; </w:t>
      </w:r>
      <w:r w:rsidRPr="007D1F6D">
        <w:rPr>
          <w:rFonts w:ascii="Times New Roman" w:hAnsi="Times New Roman"/>
          <w:bCs/>
          <w:sz w:val="24"/>
          <w:szCs w:val="24"/>
        </w:rPr>
        <w:t>Buono</w:t>
      </w:r>
      <w:r w:rsidR="003276DB">
        <w:rPr>
          <w:rFonts w:ascii="Times New Roman" w:hAnsi="Times New Roman"/>
          <w:bCs/>
          <w:sz w:val="24"/>
          <w:szCs w:val="24"/>
        </w:rPr>
        <w:t>,</w:t>
      </w:r>
      <w:r w:rsidRPr="007D1F6D">
        <w:rPr>
          <w:rFonts w:ascii="Times New Roman" w:hAnsi="Times New Roman"/>
          <w:bCs/>
          <w:sz w:val="24"/>
          <w:szCs w:val="24"/>
        </w:rPr>
        <w:t xml:space="preserve"> A.</w:t>
      </w:r>
      <w:r>
        <w:rPr>
          <w:rFonts w:ascii="Times New Roman" w:hAnsi="Times New Roman"/>
          <w:bCs/>
          <w:sz w:val="24"/>
          <w:szCs w:val="24"/>
        </w:rPr>
        <w:t xml:space="preserve"> </w:t>
      </w:r>
      <w:r w:rsidRPr="007D1F6D">
        <w:rPr>
          <w:rFonts w:ascii="Times New Roman" w:hAnsi="Times New Roman"/>
          <w:bCs/>
          <w:sz w:val="24"/>
          <w:szCs w:val="24"/>
        </w:rPr>
        <w:t xml:space="preserve">F. </w:t>
      </w:r>
      <w:r>
        <w:rPr>
          <w:rFonts w:ascii="Times New Roman" w:hAnsi="Times New Roman"/>
          <w:bCs/>
          <w:sz w:val="24"/>
          <w:szCs w:val="24"/>
        </w:rPr>
        <w:t>(</w:t>
      </w:r>
      <w:r w:rsidRPr="007D1F6D">
        <w:rPr>
          <w:rFonts w:ascii="Times New Roman" w:hAnsi="Times New Roman"/>
          <w:bCs/>
          <w:sz w:val="24"/>
          <w:szCs w:val="24"/>
        </w:rPr>
        <w:t>2001</w:t>
      </w:r>
      <w:r>
        <w:rPr>
          <w:rFonts w:ascii="Times New Roman" w:hAnsi="Times New Roman"/>
          <w:bCs/>
          <w:sz w:val="24"/>
          <w:szCs w:val="24"/>
        </w:rPr>
        <w:t>)</w:t>
      </w:r>
      <w:r w:rsidRPr="007D1F6D">
        <w:rPr>
          <w:rFonts w:ascii="Times New Roman" w:hAnsi="Times New Roman"/>
          <w:bCs/>
          <w:sz w:val="24"/>
          <w:szCs w:val="24"/>
        </w:rPr>
        <w:t>. A Primer o</w:t>
      </w:r>
      <w:r>
        <w:rPr>
          <w:rFonts w:ascii="Times New Roman" w:hAnsi="Times New Roman"/>
          <w:bCs/>
          <w:sz w:val="24"/>
          <w:szCs w:val="24"/>
        </w:rPr>
        <w:t xml:space="preserve">n Organizational Behaviour. </w:t>
      </w:r>
      <w:r w:rsidRPr="007D1F6D">
        <w:rPr>
          <w:rFonts w:ascii="Times New Roman" w:hAnsi="Times New Roman"/>
          <w:bCs/>
          <w:i/>
          <w:sz w:val="24"/>
          <w:szCs w:val="24"/>
        </w:rPr>
        <w:t>5</w:t>
      </w:r>
      <w:r w:rsidRPr="007D1F6D">
        <w:rPr>
          <w:rFonts w:ascii="Times New Roman" w:hAnsi="Times New Roman"/>
          <w:bCs/>
          <w:i/>
          <w:sz w:val="24"/>
          <w:szCs w:val="24"/>
          <w:vertAlign w:val="superscript"/>
        </w:rPr>
        <w:t>th</w:t>
      </w:r>
      <w:r w:rsidRPr="007D1F6D">
        <w:rPr>
          <w:rFonts w:ascii="Times New Roman" w:hAnsi="Times New Roman"/>
          <w:bCs/>
          <w:i/>
          <w:sz w:val="24"/>
          <w:szCs w:val="24"/>
        </w:rPr>
        <w:t xml:space="preserve"> Edition. New Caledonia. </w:t>
      </w:r>
      <w:r w:rsidRPr="007D1F6D">
        <w:rPr>
          <w:rFonts w:ascii="Times New Roman" w:hAnsi="Times New Roman"/>
          <w:bCs/>
          <w:sz w:val="24"/>
          <w:szCs w:val="24"/>
        </w:rPr>
        <w:t>Malloy Lithograph</w:t>
      </w:r>
    </w:p>
    <w:p w:rsidR="007D1F6D" w:rsidRDefault="007D1F6D" w:rsidP="0038151B">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Bratton</w:t>
      </w:r>
      <w:r w:rsidR="003276DB">
        <w:rPr>
          <w:rFonts w:ascii="Times New Roman" w:hAnsi="Times New Roman"/>
          <w:bCs/>
          <w:sz w:val="24"/>
          <w:szCs w:val="24"/>
        </w:rPr>
        <w:t>,</w:t>
      </w:r>
      <w:r>
        <w:rPr>
          <w:rFonts w:ascii="Times New Roman" w:hAnsi="Times New Roman"/>
          <w:bCs/>
          <w:sz w:val="24"/>
          <w:szCs w:val="24"/>
        </w:rPr>
        <w:t xml:space="preserve"> J. &amp; </w:t>
      </w:r>
      <w:r w:rsidRPr="007D1F6D">
        <w:rPr>
          <w:rFonts w:ascii="Times New Roman" w:hAnsi="Times New Roman"/>
          <w:bCs/>
          <w:sz w:val="24"/>
          <w:szCs w:val="24"/>
        </w:rPr>
        <w:t>Gold</w:t>
      </w:r>
      <w:r w:rsidR="003276DB">
        <w:rPr>
          <w:rFonts w:ascii="Times New Roman" w:hAnsi="Times New Roman"/>
          <w:bCs/>
          <w:sz w:val="24"/>
          <w:szCs w:val="24"/>
        </w:rPr>
        <w:t>,</w:t>
      </w:r>
      <w:r w:rsidRPr="007D1F6D">
        <w:rPr>
          <w:rFonts w:ascii="Times New Roman" w:hAnsi="Times New Roman"/>
          <w:bCs/>
          <w:sz w:val="24"/>
          <w:szCs w:val="24"/>
        </w:rPr>
        <w:t xml:space="preserve"> J. </w:t>
      </w:r>
      <w:r>
        <w:rPr>
          <w:rFonts w:ascii="Times New Roman" w:hAnsi="Times New Roman"/>
          <w:bCs/>
          <w:sz w:val="24"/>
          <w:szCs w:val="24"/>
        </w:rPr>
        <w:t>(</w:t>
      </w:r>
      <w:r w:rsidRPr="007D1F6D">
        <w:rPr>
          <w:rFonts w:ascii="Times New Roman" w:hAnsi="Times New Roman"/>
          <w:bCs/>
          <w:sz w:val="24"/>
          <w:szCs w:val="24"/>
        </w:rPr>
        <w:t>2007</w:t>
      </w:r>
      <w:r>
        <w:rPr>
          <w:rFonts w:ascii="Times New Roman" w:hAnsi="Times New Roman"/>
          <w:bCs/>
          <w:sz w:val="24"/>
          <w:szCs w:val="24"/>
        </w:rPr>
        <w:t>)</w:t>
      </w:r>
      <w:r w:rsidRPr="007D1F6D">
        <w:rPr>
          <w:rFonts w:ascii="Times New Roman" w:hAnsi="Times New Roman"/>
          <w:bCs/>
          <w:sz w:val="24"/>
          <w:szCs w:val="24"/>
        </w:rPr>
        <w:t>. Human Resource Manag</w:t>
      </w:r>
      <w:r>
        <w:rPr>
          <w:rFonts w:ascii="Times New Roman" w:hAnsi="Times New Roman"/>
          <w:bCs/>
          <w:sz w:val="24"/>
          <w:szCs w:val="24"/>
        </w:rPr>
        <w:t>ement: Theory and Practice. 4</w:t>
      </w:r>
      <w:r w:rsidRPr="007D1F6D">
        <w:rPr>
          <w:rFonts w:ascii="Times New Roman" w:hAnsi="Times New Roman"/>
          <w:bCs/>
          <w:sz w:val="24"/>
          <w:szCs w:val="24"/>
          <w:vertAlign w:val="superscript"/>
        </w:rPr>
        <w:t>th</w:t>
      </w:r>
      <w:r>
        <w:rPr>
          <w:rFonts w:ascii="Times New Roman" w:hAnsi="Times New Roman"/>
          <w:bCs/>
          <w:sz w:val="24"/>
          <w:szCs w:val="24"/>
        </w:rPr>
        <w:t xml:space="preserve"> Edition</w:t>
      </w:r>
      <w:r w:rsidRPr="007D1F6D">
        <w:rPr>
          <w:rFonts w:ascii="Times New Roman" w:hAnsi="Times New Roman"/>
          <w:bCs/>
          <w:i/>
          <w:sz w:val="24"/>
          <w:szCs w:val="24"/>
        </w:rPr>
        <w:t>. Palgrave Macmillan</w:t>
      </w:r>
      <w:r>
        <w:rPr>
          <w:rFonts w:ascii="Times New Roman" w:hAnsi="Times New Roman"/>
          <w:bCs/>
          <w:sz w:val="24"/>
          <w:szCs w:val="24"/>
        </w:rPr>
        <w:t xml:space="preserve">, </w:t>
      </w:r>
      <w:r w:rsidRPr="007D1F6D">
        <w:rPr>
          <w:rFonts w:ascii="Times New Roman" w:hAnsi="Times New Roman"/>
          <w:bCs/>
          <w:sz w:val="24"/>
          <w:szCs w:val="24"/>
        </w:rPr>
        <w:t>Basingstoke</w:t>
      </w:r>
    </w:p>
    <w:p w:rsidR="004D4CA9" w:rsidRDefault="004D4CA9" w:rsidP="0038151B">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Course material,</w:t>
      </w:r>
      <w:r w:rsidRPr="00E77901">
        <w:rPr>
          <w:rFonts w:ascii="Times New Roman" w:hAnsi="Times New Roman"/>
          <w:bCs/>
          <w:sz w:val="24"/>
          <w:szCs w:val="24"/>
        </w:rPr>
        <w:t xml:space="preserve"> (</w:t>
      </w:r>
      <w:r>
        <w:rPr>
          <w:rFonts w:ascii="Times New Roman" w:hAnsi="Times New Roman"/>
          <w:bCs/>
          <w:sz w:val="24"/>
          <w:szCs w:val="24"/>
        </w:rPr>
        <w:t>2018</w:t>
      </w:r>
      <w:r w:rsidRPr="00E77901">
        <w:rPr>
          <w:rFonts w:ascii="Times New Roman" w:hAnsi="Times New Roman"/>
          <w:bCs/>
          <w:sz w:val="24"/>
          <w:szCs w:val="24"/>
        </w:rPr>
        <w:t xml:space="preserve">). </w:t>
      </w:r>
      <w:r w:rsidRPr="003276DB">
        <w:rPr>
          <w:rFonts w:ascii="Times New Roman" w:hAnsi="Times New Roman"/>
          <w:bCs/>
          <w:sz w:val="24"/>
          <w:szCs w:val="24"/>
        </w:rPr>
        <w:t>How to Motivate Fred Maiorino?</w:t>
      </w:r>
      <w:r w:rsidRPr="00E77901">
        <w:rPr>
          <w:rFonts w:ascii="Times New Roman" w:hAnsi="Times New Roman"/>
          <w:bCs/>
          <w:sz w:val="24"/>
          <w:szCs w:val="24"/>
        </w:rPr>
        <w:t xml:space="preserve">. </w:t>
      </w:r>
    </w:p>
    <w:p w:rsidR="007D1F6D" w:rsidRDefault="007D1F6D" w:rsidP="0038151B">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 xml:space="preserve">Decenzo, D. &amp; </w:t>
      </w:r>
      <w:r w:rsidRPr="007D1F6D">
        <w:rPr>
          <w:rFonts w:ascii="Times New Roman" w:hAnsi="Times New Roman"/>
          <w:bCs/>
          <w:sz w:val="24"/>
          <w:szCs w:val="24"/>
        </w:rPr>
        <w:t xml:space="preserve">Robbins, S </w:t>
      </w:r>
      <w:r>
        <w:rPr>
          <w:rFonts w:ascii="Times New Roman" w:hAnsi="Times New Roman"/>
          <w:bCs/>
          <w:sz w:val="24"/>
          <w:szCs w:val="24"/>
        </w:rPr>
        <w:t>(</w:t>
      </w:r>
      <w:r w:rsidRPr="007D1F6D">
        <w:rPr>
          <w:rFonts w:ascii="Times New Roman" w:hAnsi="Times New Roman"/>
          <w:bCs/>
          <w:sz w:val="24"/>
          <w:szCs w:val="24"/>
        </w:rPr>
        <w:t>2007</w:t>
      </w:r>
      <w:r>
        <w:rPr>
          <w:rFonts w:ascii="Times New Roman" w:hAnsi="Times New Roman"/>
          <w:bCs/>
          <w:sz w:val="24"/>
          <w:szCs w:val="24"/>
        </w:rPr>
        <w:t>)</w:t>
      </w:r>
      <w:r w:rsidRPr="007D1F6D">
        <w:rPr>
          <w:rFonts w:ascii="Times New Roman" w:hAnsi="Times New Roman"/>
          <w:bCs/>
          <w:sz w:val="24"/>
          <w:szCs w:val="24"/>
        </w:rPr>
        <w:t>. Fundamentals of</w:t>
      </w:r>
      <w:r>
        <w:rPr>
          <w:rFonts w:ascii="Times New Roman" w:hAnsi="Times New Roman"/>
          <w:bCs/>
          <w:sz w:val="24"/>
          <w:szCs w:val="24"/>
        </w:rPr>
        <w:t xml:space="preserve"> Human Resource Management. 9</w:t>
      </w:r>
      <w:r w:rsidRPr="007D1F6D">
        <w:rPr>
          <w:rFonts w:ascii="Times New Roman" w:hAnsi="Times New Roman"/>
          <w:bCs/>
          <w:sz w:val="24"/>
          <w:szCs w:val="24"/>
          <w:vertAlign w:val="superscript"/>
        </w:rPr>
        <w:t>th</w:t>
      </w:r>
      <w:r>
        <w:rPr>
          <w:rFonts w:ascii="Times New Roman" w:hAnsi="Times New Roman"/>
          <w:bCs/>
          <w:sz w:val="24"/>
          <w:szCs w:val="24"/>
        </w:rPr>
        <w:t xml:space="preserve"> </w:t>
      </w:r>
      <w:r w:rsidRPr="007D1F6D">
        <w:rPr>
          <w:rFonts w:ascii="Times New Roman" w:hAnsi="Times New Roman"/>
          <w:bCs/>
          <w:sz w:val="24"/>
          <w:szCs w:val="24"/>
        </w:rPr>
        <w:t xml:space="preserve">Edition. </w:t>
      </w:r>
      <w:r w:rsidRPr="007D1F6D">
        <w:rPr>
          <w:rFonts w:ascii="Times New Roman" w:hAnsi="Times New Roman"/>
          <w:bCs/>
          <w:i/>
          <w:sz w:val="24"/>
          <w:szCs w:val="24"/>
        </w:rPr>
        <w:t>John Wiley &amp; Sons, Inc</w:t>
      </w:r>
      <w:r w:rsidRPr="007D1F6D">
        <w:rPr>
          <w:rFonts w:ascii="Times New Roman" w:hAnsi="Times New Roman"/>
          <w:bCs/>
          <w:sz w:val="24"/>
          <w:szCs w:val="24"/>
        </w:rPr>
        <w:t xml:space="preserve"> New Jersey..</w:t>
      </w:r>
    </w:p>
    <w:p w:rsidR="007D1F6D" w:rsidRDefault="007D1F6D" w:rsidP="0038151B">
      <w:pPr>
        <w:spacing w:after="0" w:line="480" w:lineRule="auto"/>
        <w:ind w:left="720" w:hanging="720"/>
        <w:contextualSpacing/>
        <w:rPr>
          <w:rFonts w:ascii="Times New Roman" w:hAnsi="Times New Roman"/>
          <w:bCs/>
          <w:sz w:val="24"/>
          <w:szCs w:val="24"/>
        </w:rPr>
      </w:pPr>
      <w:r w:rsidRPr="007D1F6D">
        <w:rPr>
          <w:rFonts w:ascii="Times New Roman" w:hAnsi="Times New Roman"/>
          <w:bCs/>
          <w:sz w:val="24"/>
          <w:szCs w:val="24"/>
        </w:rPr>
        <w:t xml:space="preserve">Dessler, G. </w:t>
      </w:r>
      <w:r>
        <w:rPr>
          <w:rFonts w:ascii="Times New Roman" w:hAnsi="Times New Roman"/>
          <w:bCs/>
          <w:sz w:val="24"/>
          <w:szCs w:val="24"/>
        </w:rPr>
        <w:t>(</w:t>
      </w:r>
      <w:r w:rsidRPr="007D1F6D">
        <w:rPr>
          <w:rFonts w:ascii="Times New Roman" w:hAnsi="Times New Roman"/>
          <w:bCs/>
          <w:sz w:val="24"/>
          <w:szCs w:val="24"/>
        </w:rPr>
        <w:t>2009</w:t>
      </w:r>
      <w:r>
        <w:rPr>
          <w:rFonts w:ascii="Times New Roman" w:hAnsi="Times New Roman"/>
          <w:bCs/>
          <w:sz w:val="24"/>
          <w:szCs w:val="24"/>
        </w:rPr>
        <w:t>)</w:t>
      </w:r>
      <w:r w:rsidRPr="007D1F6D">
        <w:rPr>
          <w:rFonts w:ascii="Times New Roman" w:hAnsi="Times New Roman"/>
          <w:bCs/>
          <w:sz w:val="24"/>
          <w:szCs w:val="24"/>
        </w:rPr>
        <w:t>. Fundamentals of Huma</w:t>
      </w:r>
      <w:r>
        <w:rPr>
          <w:rFonts w:ascii="Times New Roman" w:hAnsi="Times New Roman"/>
          <w:bCs/>
          <w:sz w:val="24"/>
          <w:szCs w:val="24"/>
        </w:rPr>
        <w:t xml:space="preserve">n Resource Management: Content, </w:t>
      </w:r>
      <w:r w:rsidRPr="007D1F6D">
        <w:rPr>
          <w:rFonts w:ascii="Times New Roman" w:hAnsi="Times New Roman"/>
          <w:bCs/>
          <w:sz w:val="24"/>
          <w:szCs w:val="24"/>
        </w:rPr>
        <w:t xml:space="preserve">Competencies, and Applications. </w:t>
      </w:r>
      <w:r w:rsidRPr="007D1F6D">
        <w:rPr>
          <w:rFonts w:ascii="Times New Roman" w:hAnsi="Times New Roman"/>
          <w:bCs/>
          <w:i/>
          <w:sz w:val="24"/>
          <w:szCs w:val="24"/>
        </w:rPr>
        <w:t>Pearson Education Inc</w:t>
      </w:r>
      <w:r>
        <w:rPr>
          <w:rFonts w:ascii="Times New Roman" w:hAnsi="Times New Roman"/>
          <w:bCs/>
          <w:i/>
          <w:sz w:val="24"/>
          <w:szCs w:val="24"/>
        </w:rPr>
        <w:t>.</w:t>
      </w:r>
      <w:r w:rsidRPr="007D1F6D">
        <w:rPr>
          <w:rFonts w:ascii="Times New Roman" w:hAnsi="Times New Roman"/>
          <w:bCs/>
          <w:sz w:val="24"/>
          <w:szCs w:val="24"/>
        </w:rPr>
        <w:t xml:space="preserve"> New Jersey.</w:t>
      </w:r>
    </w:p>
    <w:p w:rsidR="007D1F6D" w:rsidRPr="007D1F6D" w:rsidRDefault="007D1F6D" w:rsidP="0038151B">
      <w:pPr>
        <w:spacing w:after="0" w:line="480" w:lineRule="auto"/>
        <w:ind w:left="720" w:hanging="720"/>
        <w:contextualSpacing/>
        <w:rPr>
          <w:rFonts w:ascii="Times New Roman" w:hAnsi="Times New Roman"/>
          <w:bCs/>
          <w:sz w:val="24"/>
          <w:szCs w:val="24"/>
        </w:rPr>
      </w:pPr>
      <w:r w:rsidRPr="007D1F6D">
        <w:rPr>
          <w:rFonts w:ascii="Times New Roman" w:hAnsi="Times New Roman"/>
          <w:bCs/>
          <w:sz w:val="24"/>
          <w:szCs w:val="24"/>
        </w:rPr>
        <w:t xml:space="preserve">Greene, R. </w:t>
      </w:r>
      <w:r>
        <w:rPr>
          <w:rFonts w:ascii="Times New Roman" w:hAnsi="Times New Roman"/>
          <w:bCs/>
          <w:sz w:val="24"/>
          <w:szCs w:val="24"/>
        </w:rPr>
        <w:t>(</w:t>
      </w:r>
      <w:r w:rsidRPr="007D1F6D">
        <w:rPr>
          <w:rFonts w:ascii="Times New Roman" w:hAnsi="Times New Roman"/>
          <w:bCs/>
          <w:sz w:val="24"/>
          <w:szCs w:val="24"/>
        </w:rPr>
        <w:t>2011</w:t>
      </w:r>
      <w:r>
        <w:rPr>
          <w:rFonts w:ascii="Times New Roman" w:hAnsi="Times New Roman"/>
          <w:bCs/>
          <w:sz w:val="24"/>
          <w:szCs w:val="24"/>
        </w:rPr>
        <w:t>)</w:t>
      </w:r>
      <w:r w:rsidRPr="007D1F6D">
        <w:rPr>
          <w:rFonts w:ascii="Times New Roman" w:hAnsi="Times New Roman"/>
          <w:bCs/>
          <w:sz w:val="24"/>
          <w:szCs w:val="24"/>
        </w:rPr>
        <w:t>. Rewarding Performance: Guiding Principles; Custom Strategies.</w:t>
      </w:r>
      <w:r>
        <w:rPr>
          <w:rFonts w:ascii="Times New Roman" w:hAnsi="Times New Roman"/>
          <w:bCs/>
          <w:sz w:val="24"/>
          <w:szCs w:val="24"/>
        </w:rPr>
        <w:t xml:space="preserve"> </w:t>
      </w:r>
      <w:r w:rsidRPr="007D1F6D">
        <w:rPr>
          <w:rFonts w:ascii="Times New Roman" w:hAnsi="Times New Roman"/>
          <w:bCs/>
          <w:i/>
          <w:sz w:val="24"/>
          <w:szCs w:val="24"/>
        </w:rPr>
        <w:t>Routledge.</w:t>
      </w:r>
      <w:r>
        <w:rPr>
          <w:rFonts w:ascii="Times New Roman" w:hAnsi="Times New Roman"/>
          <w:bCs/>
          <w:i/>
          <w:sz w:val="24"/>
          <w:szCs w:val="24"/>
        </w:rPr>
        <w:t xml:space="preserve"> </w:t>
      </w:r>
      <w:r w:rsidRPr="007D1F6D">
        <w:rPr>
          <w:rFonts w:ascii="Times New Roman" w:hAnsi="Times New Roman"/>
          <w:bCs/>
          <w:sz w:val="24"/>
          <w:szCs w:val="24"/>
        </w:rPr>
        <w:t xml:space="preserve">New York. </w:t>
      </w:r>
    </w:p>
    <w:p w:rsidR="007D1F6D" w:rsidRDefault="007D1F6D" w:rsidP="0038151B">
      <w:pPr>
        <w:spacing w:after="0" w:line="480" w:lineRule="auto"/>
        <w:ind w:left="720" w:hanging="720"/>
        <w:contextualSpacing/>
        <w:rPr>
          <w:rFonts w:ascii="Times New Roman" w:hAnsi="Times New Roman"/>
          <w:bCs/>
          <w:sz w:val="24"/>
          <w:szCs w:val="24"/>
        </w:rPr>
      </w:pPr>
      <w:r w:rsidRPr="007D1F6D">
        <w:rPr>
          <w:rFonts w:ascii="Times New Roman" w:hAnsi="Times New Roman"/>
          <w:bCs/>
          <w:sz w:val="24"/>
          <w:szCs w:val="24"/>
        </w:rPr>
        <w:t xml:space="preserve">Hutchinson, S. </w:t>
      </w:r>
      <w:r>
        <w:rPr>
          <w:rFonts w:ascii="Times New Roman" w:hAnsi="Times New Roman"/>
          <w:bCs/>
          <w:sz w:val="24"/>
          <w:szCs w:val="24"/>
        </w:rPr>
        <w:t>(</w:t>
      </w:r>
      <w:r w:rsidRPr="007D1F6D">
        <w:rPr>
          <w:rFonts w:ascii="Times New Roman" w:hAnsi="Times New Roman"/>
          <w:bCs/>
          <w:sz w:val="24"/>
          <w:szCs w:val="24"/>
        </w:rPr>
        <w:t>2013</w:t>
      </w:r>
      <w:r>
        <w:rPr>
          <w:rFonts w:ascii="Times New Roman" w:hAnsi="Times New Roman"/>
          <w:bCs/>
          <w:sz w:val="24"/>
          <w:szCs w:val="24"/>
        </w:rPr>
        <w:t>)</w:t>
      </w:r>
      <w:r w:rsidRPr="007D1F6D">
        <w:rPr>
          <w:rFonts w:ascii="Times New Roman" w:hAnsi="Times New Roman"/>
          <w:bCs/>
          <w:sz w:val="24"/>
          <w:szCs w:val="24"/>
        </w:rPr>
        <w:t>. Performance Managemen</w:t>
      </w:r>
      <w:r>
        <w:rPr>
          <w:rFonts w:ascii="Times New Roman" w:hAnsi="Times New Roman"/>
          <w:bCs/>
          <w:sz w:val="24"/>
          <w:szCs w:val="24"/>
        </w:rPr>
        <w:t xml:space="preserve">t: Theory and Practice. </w:t>
      </w:r>
      <w:r w:rsidRPr="007D1F6D">
        <w:rPr>
          <w:rFonts w:ascii="Times New Roman" w:hAnsi="Times New Roman"/>
          <w:bCs/>
          <w:i/>
          <w:sz w:val="24"/>
          <w:szCs w:val="24"/>
        </w:rPr>
        <w:t>Chartered Institute of Personnel and Development</w:t>
      </w:r>
      <w:r>
        <w:rPr>
          <w:rFonts w:ascii="Times New Roman" w:hAnsi="Times New Roman"/>
          <w:bCs/>
          <w:sz w:val="24"/>
          <w:szCs w:val="24"/>
        </w:rPr>
        <w:t xml:space="preserve"> , London. </w:t>
      </w:r>
    </w:p>
    <w:p w:rsidR="007D1F6D" w:rsidRPr="007D1F6D" w:rsidRDefault="007D1F6D" w:rsidP="0038151B">
      <w:pPr>
        <w:spacing w:after="0" w:line="480" w:lineRule="auto"/>
        <w:ind w:left="720" w:hanging="720"/>
        <w:contextualSpacing/>
        <w:rPr>
          <w:rFonts w:ascii="Times New Roman" w:hAnsi="Times New Roman"/>
          <w:bCs/>
          <w:sz w:val="24"/>
          <w:szCs w:val="24"/>
        </w:rPr>
      </w:pPr>
      <w:r w:rsidRPr="007D1F6D">
        <w:rPr>
          <w:rFonts w:ascii="Times New Roman" w:hAnsi="Times New Roman"/>
          <w:bCs/>
          <w:sz w:val="24"/>
          <w:szCs w:val="24"/>
        </w:rPr>
        <w:t>Skemp-Arlt, K.</w:t>
      </w:r>
      <w:r>
        <w:rPr>
          <w:rFonts w:ascii="Times New Roman" w:hAnsi="Times New Roman"/>
          <w:bCs/>
          <w:sz w:val="24"/>
          <w:szCs w:val="24"/>
        </w:rPr>
        <w:t xml:space="preserve"> M. &amp;</w:t>
      </w:r>
      <w:r w:rsidRPr="007D1F6D">
        <w:rPr>
          <w:rFonts w:ascii="Times New Roman" w:hAnsi="Times New Roman"/>
          <w:bCs/>
          <w:sz w:val="24"/>
          <w:szCs w:val="24"/>
        </w:rPr>
        <w:t xml:space="preserve">Toupence, R. </w:t>
      </w:r>
      <w:r>
        <w:rPr>
          <w:rFonts w:ascii="Times New Roman" w:hAnsi="Times New Roman"/>
          <w:bCs/>
          <w:sz w:val="24"/>
          <w:szCs w:val="24"/>
        </w:rPr>
        <w:t>(</w:t>
      </w:r>
      <w:r w:rsidRPr="007D1F6D">
        <w:rPr>
          <w:rFonts w:ascii="Times New Roman" w:hAnsi="Times New Roman"/>
          <w:bCs/>
          <w:sz w:val="24"/>
          <w:szCs w:val="24"/>
        </w:rPr>
        <w:t>2007</w:t>
      </w:r>
      <w:r>
        <w:rPr>
          <w:rFonts w:ascii="Times New Roman" w:hAnsi="Times New Roman"/>
          <w:bCs/>
          <w:sz w:val="24"/>
          <w:szCs w:val="24"/>
        </w:rPr>
        <w:t>)</w:t>
      </w:r>
      <w:r w:rsidRPr="007D1F6D">
        <w:rPr>
          <w:rFonts w:ascii="Times New Roman" w:hAnsi="Times New Roman"/>
          <w:bCs/>
          <w:sz w:val="24"/>
          <w:szCs w:val="24"/>
        </w:rPr>
        <w:t>. The administrator's role in employee mot</w:t>
      </w:r>
      <w:r>
        <w:rPr>
          <w:rFonts w:ascii="Times New Roman" w:hAnsi="Times New Roman"/>
          <w:bCs/>
          <w:sz w:val="24"/>
          <w:szCs w:val="24"/>
        </w:rPr>
        <w:t xml:space="preserve">ivation. </w:t>
      </w:r>
      <w:r w:rsidRPr="007D1F6D">
        <w:rPr>
          <w:rFonts w:ascii="Times New Roman" w:hAnsi="Times New Roman"/>
          <w:bCs/>
          <w:i/>
          <w:sz w:val="24"/>
          <w:szCs w:val="24"/>
        </w:rPr>
        <w:t>Coach &amp; Athletic Director</w:t>
      </w:r>
      <w:r w:rsidRPr="007D1F6D">
        <w:rPr>
          <w:rFonts w:ascii="Times New Roman" w:hAnsi="Times New Roman"/>
          <w:bCs/>
          <w:sz w:val="24"/>
          <w:szCs w:val="24"/>
        </w:rPr>
        <w:t>, 28–34.</w:t>
      </w:r>
    </w:p>
    <w:p w:rsidR="007D1F6D" w:rsidRPr="007D1F6D" w:rsidRDefault="007D1F6D" w:rsidP="0038151B">
      <w:pPr>
        <w:spacing w:after="0" w:line="480" w:lineRule="auto"/>
        <w:ind w:left="720" w:hanging="720"/>
        <w:contextualSpacing/>
        <w:rPr>
          <w:rFonts w:ascii="Times New Roman" w:hAnsi="Times New Roman"/>
          <w:bCs/>
          <w:sz w:val="24"/>
          <w:szCs w:val="24"/>
        </w:rPr>
      </w:pPr>
      <w:r w:rsidRPr="007D1F6D">
        <w:rPr>
          <w:rFonts w:ascii="Times New Roman" w:hAnsi="Times New Roman"/>
          <w:bCs/>
          <w:sz w:val="24"/>
          <w:szCs w:val="24"/>
        </w:rPr>
        <w:t xml:space="preserve">Stake, R. </w:t>
      </w:r>
      <w:r>
        <w:rPr>
          <w:rFonts w:ascii="Times New Roman" w:hAnsi="Times New Roman"/>
          <w:bCs/>
          <w:sz w:val="24"/>
          <w:szCs w:val="24"/>
        </w:rPr>
        <w:t>(</w:t>
      </w:r>
      <w:r w:rsidRPr="007D1F6D">
        <w:rPr>
          <w:rFonts w:ascii="Times New Roman" w:hAnsi="Times New Roman"/>
          <w:bCs/>
          <w:sz w:val="24"/>
          <w:szCs w:val="24"/>
        </w:rPr>
        <w:t>1995</w:t>
      </w:r>
      <w:r>
        <w:rPr>
          <w:rFonts w:ascii="Times New Roman" w:hAnsi="Times New Roman"/>
          <w:bCs/>
          <w:sz w:val="24"/>
          <w:szCs w:val="24"/>
        </w:rPr>
        <w:t>)</w:t>
      </w:r>
      <w:r w:rsidRPr="007D1F6D">
        <w:rPr>
          <w:rFonts w:ascii="Times New Roman" w:hAnsi="Times New Roman"/>
          <w:bCs/>
          <w:sz w:val="24"/>
          <w:szCs w:val="24"/>
        </w:rPr>
        <w:t xml:space="preserve">. The art of case study research. </w:t>
      </w:r>
      <w:r w:rsidRPr="007D1F6D">
        <w:rPr>
          <w:rFonts w:ascii="Times New Roman" w:hAnsi="Times New Roman"/>
          <w:bCs/>
          <w:i/>
          <w:sz w:val="24"/>
          <w:szCs w:val="24"/>
        </w:rPr>
        <w:t>Thousand Oaks</w:t>
      </w:r>
      <w:r w:rsidRPr="007D1F6D">
        <w:rPr>
          <w:rFonts w:ascii="Times New Roman" w:hAnsi="Times New Roman"/>
          <w:bCs/>
          <w:sz w:val="24"/>
          <w:szCs w:val="24"/>
        </w:rPr>
        <w:t>, CA. Sage.</w:t>
      </w:r>
    </w:p>
    <w:p w:rsidR="007D1F6D" w:rsidRPr="007D1F6D" w:rsidRDefault="007D1F6D" w:rsidP="0038151B">
      <w:pPr>
        <w:spacing w:after="0" w:line="480" w:lineRule="auto"/>
        <w:ind w:left="720" w:hanging="720"/>
        <w:contextualSpacing/>
        <w:rPr>
          <w:rFonts w:ascii="Times New Roman" w:hAnsi="Times New Roman"/>
          <w:bCs/>
          <w:sz w:val="24"/>
          <w:szCs w:val="24"/>
        </w:rPr>
      </w:pPr>
      <w:r w:rsidRPr="007D1F6D">
        <w:rPr>
          <w:rFonts w:ascii="Times New Roman" w:hAnsi="Times New Roman"/>
          <w:bCs/>
          <w:sz w:val="24"/>
          <w:szCs w:val="24"/>
        </w:rPr>
        <w:t xml:space="preserve">Thomas, K. W. &amp; Velthouse, B. A. </w:t>
      </w:r>
      <w:r>
        <w:rPr>
          <w:rFonts w:ascii="Times New Roman" w:hAnsi="Times New Roman"/>
          <w:bCs/>
          <w:sz w:val="24"/>
          <w:szCs w:val="24"/>
        </w:rPr>
        <w:t>(</w:t>
      </w:r>
      <w:r w:rsidRPr="007D1F6D">
        <w:rPr>
          <w:rFonts w:ascii="Times New Roman" w:hAnsi="Times New Roman"/>
          <w:bCs/>
          <w:sz w:val="24"/>
          <w:szCs w:val="24"/>
        </w:rPr>
        <w:t>1990</w:t>
      </w:r>
      <w:r>
        <w:rPr>
          <w:rFonts w:ascii="Times New Roman" w:hAnsi="Times New Roman"/>
          <w:bCs/>
          <w:sz w:val="24"/>
          <w:szCs w:val="24"/>
        </w:rPr>
        <w:t>)</w:t>
      </w:r>
      <w:r w:rsidRPr="007D1F6D">
        <w:rPr>
          <w:rFonts w:ascii="Times New Roman" w:hAnsi="Times New Roman"/>
          <w:bCs/>
          <w:sz w:val="24"/>
          <w:szCs w:val="24"/>
        </w:rPr>
        <w:t>. Cog</w:t>
      </w:r>
      <w:r>
        <w:rPr>
          <w:rFonts w:ascii="Times New Roman" w:hAnsi="Times New Roman"/>
          <w:bCs/>
          <w:sz w:val="24"/>
          <w:szCs w:val="24"/>
        </w:rPr>
        <w:t xml:space="preserve">nitive elements of empowerment: </w:t>
      </w:r>
      <w:r w:rsidRPr="007D1F6D">
        <w:rPr>
          <w:rFonts w:ascii="Times New Roman" w:hAnsi="Times New Roman"/>
          <w:bCs/>
          <w:sz w:val="24"/>
          <w:szCs w:val="24"/>
        </w:rPr>
        <w:t>An ‘‘interpretive’’ model of intrinsic task mo</w:t>
      </w:r>
      <w:r>
        <w:rPr>
          <w:rFonts w:ascii="Times New Roman" w:hAnsi="Times New Roman"/>
          <w:bCs/>
          <w:sz w:val="24"/>
          <w:szCs w:val="24"/>
        </w:rPr>
        <w:t xml:space="preserve">tivation. </w:t>
      </w:r>
      <w:r w:rsidRPr="007D1F6D">
        <w:rPr>
          <w:rFonts w:ascii="Times New Roman" w:hAnsi="Times New Roman"/>
          <w:bCs/>
          <w:i/>
          <w:sz w:val="24"/>
          <w:szCs w:val="24"/>
        </w:rPr>
        <w:t>Academy of Management Review</w:t>
      </w:r>
      <w:r w:rsidRPr="007D1F6D">
        <w:rPr>
          <w:rFonts w:ascii="Times New Roman" w:hAnsi="Times New Roman"/>
          <w:bCs/>
          <w:sz w:val="24"/>
          <w:szCs w:val="24"/>
        </w:rPr>
        <w:t>, 15, 666–681.</w:t>
      </w:r>
    </w:p>
    <w:p w:rsidR="00605B23" w:rsidRDefault="007D1F6D" w:rsidP="008D0681">
      <w:pPr>
        <w:spacing w:after="0" w:line="480" w:lineRule="auto"/>
        <w:ind w:left="720" w:hanging="720"/>
        <w:contextualSpacing/>
      </w:pPr>
      <w:r w:rsidRPr="007D1F6D">
        <w:rPr>
          <w:rFonts w:ascii="Times New Roman" w:hAnsi="Times New Roman"/>
          <w:bCs/>
          <w:sz w:val="24"/>
          <w:szCs w:val="24"/>
        </w:rPr>
        <w:t xml:space="preserve">Weiner, B. </w:t>
      </w:r>
      <w:r>
        <w:rPr>
          <w:rFonts w:ascii="Times New Roman" w:hAnsi="Times New Roman"/>
          <w:bCs/>
          <w:sz w:val="24"/>
          <w:szCs w:val="24"/>
        </w:rPr>
        <w:t>(</w:t>
      </w:r>
      <w:r w:rsidRPr="007D1F6D">
        <w:rPr>
          <w:rFonts w:ascii="Times New Roman" w:hAnsi="Times New Roman"/>
          <w:bCs/>
          <w:sz w:val="24"/>
          <w:szCs w:val="24"/>
        </w:rPr>
        <w:t>2012</w:t>
      </w:r>
      <w:r>
        <w:rPr>
          <w:rFonts w:ascii="Times New Roman" w:hAnsi="Times New Roman"/>
          <w:bCs/>
          <w:sz w:val="24"/>
          <w:szCs w:val="24"/>
        </w:rPr>
        <w:t>)</w:t>
      </w:r>
      <w:r w:rsidRPr="007D1F6D">
        <w:rPr>
          <w:rFonts w:ascii="Times New Roman" w:hAnsi="Times New Roman"/>
          <w:bCs/>
          <w:sz w:val="24"/>
          <w:szCs w:val="24"/>
        </w:rPr>
        <w:t>. An attributional theory of m</w:t>
      </w:r>
      <w:r>
        <w:rPr>
          <w:rFonts w:ascii="Times New Roman" w:hAnsi="Times New Roman"/>
          <w:bCs/>
          <w:sz w:val="24"/>
          <w:szCs w:val="24"/>
        </w:rPr>
        <w:t xml:space="preserve">otivation and emotion. </w:t>
      </w:r>
      <w:r w:rsidRPr="007D1F6D">
        <w:rPr>
          <w:rFonts w:ascii="Times New Roman" w:hAnsi="Times New Roman"/>
          <w:bCs/>
          <w:i/>
          <w:sz w:val="24"/>
          <w:szCs w:val="24"/>
        </w:rPr>
        <w:t>Springer Science &amp; Business Media</w:t>
      </w:r>
      <w:r w:rsidRPr="007D1F6D">
        <w:rPr>
          <w:rFonts w:ascii="Times New Roman" w:hAnsi="Times New Roman"/>
          <w:bCs/>
          <w:sz w:val="24"/>
          <w:szCs w:val="24"/>
        </w:rPr>
        <w:t>.</w:t>
      </w:r>
    </w:p>
    <w:sectPr w:rsidR="00605B23" w:rsidSect="001346F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41D" w:rsidRDefault="0030041D">
      <w:pPr>
        <w:spacing w:after="0" w:line="240" w:lineRule="auto"/>
      </w:pPr>
      <w:r>
        <w:separator/>
      </w:r>
    </w:p>
  </w:endnote>
  <w:endnote w:type="continuationSeparator" w:id="0">
    <w:p w:rsidR="0030041D" w:rsidRDefault="00300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005" w:rsidRDefault="008E40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005" w:rsidRDefault="008E40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005" w:rsidRDefault="008E40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41D" w:rsidRDefault="0030041D">
      <w:pPr>
        <w:spacing w:after="0" w:line="240" w:lineRule="auto"/>
      </w:pPr>
      <w:r>
        <w:separator/>
      </w:r>
    </w:p>
  </w:footnote>
  <w:footnote w:type="continuationSeparator" w:id="0">
    <w:p w:rsidR="0030041D" w:rsidRDefault="003004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005" w:rsidRDefault="008E40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DF1EDC" w:rsidP="00C94AAE">
    <w:pPr>
      <w:pStyle w:val="Header"/>
      <w:spacing w:line="480" w:lineRule="auto"/>
      <w:rPr>
        <w:rFonts w:ascii="Times New Roman" w:hAnsi="Times New Roman"/>
        <w:sz w:val="24"/>
        <w:szCs w:val="24"/>
      </w:rPr>
    </w:pPr>
    <w:r>
      <w:rPr>
        <w:rFonts w:ascii="Times New Roman" w:hAnsi="Times New Roman"/>
        <w:sz w:val="24"/>
        <w:szCs w:val="24"/>
      </w:rPr>
      <w:t>FRED MAIORINO</w:t>
    </w:r>
    <w:r w:rsidRPr="003472AC">
      <w:rPr>
        <w:rFonts w:ascii="Times New Roman" w:hAnsi="Times New Roman"/>
        <w:sz w:val="24"/>
        <w:szCs w:val="24"/>
      </w:rPr>
      <w:t xml:space="preserve"> CASE</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8E4005">
      <w:rPr>
        <w:rFonts w:ascii="Times New Roman" w:hAnsi="Times New Roman"/>
        <w:noProof/>
        <w:sz w:val="24"/>
        <w:szCs w:val="24"/>
      </w:rPr>
      <w:t>7</w:t>
    </w:r>
    <w:r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DF1EDC" w:rsidP="00FA705F">
    <w:pPr>
      <w:pStyle w:val="Header"/>
      <w:spacing w:line="480" w:lineRule="auto"/>
      <w:rPr>
        <w:rFonts w:ascii="Times New Roman" w:hAnsi="Times New Roman"/>
        <w:sz w:val="24"/>
        <w:szCs w:val="24"/>
      </w:rPr>
    </w:pPr>
    <w:r w:rsidRPr="00EA4FC6">
      <w:rPr>
        <w:rFonts w:ascii="Times New Roman" w:hAnsi="Times New Roman"/>
        <w:sz w:val="24"/>
        <w:szCs w:val="24"/>
      </w:rPr>
      <w:t xml:space="preserve">Running head: </w:t>
    </w:r>
    <w:r>
      <w:rPr>
        <w:rFonts w:ascii="Times New Roman" w:hAnsi="Times New Roman"/>
        <w:sz w:val="24"/>
        <w:szCs w:val="24"/>
      </w:rPr>
      <w:t>FRED MAIORINO</w:t>
    </w:r>
    <w:r w:rsidRPr="003472AC">
      <w:rPr>
        <w:rFonts w:ascii="Times New Roman" w:hAnsi="Times New Roman"/>
        <w:sz w:val="24"/>
        <w:szCs w:val="24"/>
      </w:rPr>
      <w:t xml:space="preserve"> CASE</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8E4005">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DDF"/>
    <w:rsid w:val="000257F2"/>
    <w:rsid w:val="00227E31"/>
    <w:rsid w:val="0030041D"/>
    <w:rsid w:val="003276DB"/>
    <w:rsid w:val="0038151B"/>
    <w:rsid w:val="003E2AEE"/>
    <w:rsid w:val="0045133F"/>
    <w:rsid w:val="004D4CA9"/>
    <w:rsid w:val="00605B23"/>
    <w:rsid w:val="007922A6"/>
    <w:rsid w:val="007D1F6D"/>
    <w:rsid w:val="008274D4"/>
    <w:rsid w:val="008D0681"/>
    <w:rsid w:val="008E4005"/>
    <w:rsid w:val="009550B7"/>
    <w:rsid w:val="009F1880"/>
    <w:rsid w:val="00CA3DDF"/>
    <w:rsid w:val="00DF1EDC"/>
    <w:rsid w:val="00E10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DF"/>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DDF"/>
    <w:rPr>
      <w:rFonts w:ascii="Calibri" w:eastAsia="Calibri" w:hAnsi="Calibri" w:cs="Times New Roman"/>
      <w:sz w:val="18"/>
      <w:szCs w:val="18"/>
    </w:rPr>
  </w:style>
  <w:style w:type="paragraph" w:styleId="ListParagraph">
    <w:name w:val="List Paragraph"/>
    <w:basedOn w:val="Normal"/>
    <w:uiPriority w:val="34"/>
    <w:qFormat/>
    <w:rsid w:val="007D1F6D"/>
    <w:pPr>
      <w:ind w:left="720"/>
      <w:contextualSpacing/>
    </w:pPr>
  </w:style>
  <w:style w:type="paragraph" w:styleId="Footer">
    <w:name w:val="footer"/>
    <w:basedOn w:val="Normal"/>
    <w:link w:val="FooterChar"/>
    <w:uiPriority w:val="99"/>
    <w:unhideWhenUsed/>
    <w:rsid w:val="008E4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005"/>
    <w:rPr>
      <w:rFonts w:ascii="Calibri" w:eastAsia="Calibri"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DF"/>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DDF"/>
    <w:rPr>
      <w:rFonts w:ascii="Calibri" w:eastAsia="Calibri" w:hAnsi="Calibri" w:cs="Times New Roman"/>
      <w:sz w:val="18"/>
      <w:szCs w:val="18"/>
    </w:rPr>
  </w:style>
  <w:style w:type="paragraph" w:styleId="ListParagraph">
    <w:name w:val="List Paragraph"/>
    <w:basedOn w:val="Normal"/>
    <w:uiPriority w:val="34"/>
    <w:qFormat/>
    <w:rsid w:val="007D1F6D"/>
    <w:pPr>
      <w:ind w:left="720"/>
      <w:contextualSpacing/>
    </w:pPr>
  </w:style>
  <w:style w:type="paragraph" w:styleId="Footer">
    <w:name w:val="footer"/>
    <w:basedOn w:val="Normal"/>
    <w:link w:val="FooterChar"/>
    <w:uiPriority w:val="99"/>
    <w:unhideWhenUsed/>
    <w:rsid w:val="008E4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005"/>
    <w:rPr>
      <w:rFonts w:ascii="Calibri" w:eastAsia="Calibri"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1709</Words>
  <Characters>9746</Characters>
  <Application>Microsoft Office Word</Application>
  <DocSecurity>0</DocSecurity>
  <Lines>81</Lines>
  <Paragraphs>22</Paragraphs>
  <ScaleCrop>false</ScaleCrop>
  <LinksUpToDate>false</LinksUpToDate>
  <CharactersWithSpaces>11433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2018-12-12T16:06:00Z</dcterms:created>
  <dcterms:modified xsi:type="dcterms:W3CDTF">2018-12-12T16:06:00Z</dcterms:modified>
</cp:coreProperties>
</file>